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上海市崇明区202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季度自然灾害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综合风险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会商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报告</w:t>
      </w:r>
    </w:p>
    <w:bookmarkEnd w:id="0"/>
    <w:p>
      <w:pPr>
        <w:pStyle w:val="2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09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上海市崇明区自然灾害防治委员会办公室（以下简称区灾防办）会同区建设管理委、区农业农村委、区水务局、区绿化市容局、区交通委、区气象局等行业主管部门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对本区202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季度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存在的自然灾害风险以及可能发生的次生灾害事故风险进行研判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提出防范应对措施，综合形成本报告。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季度气候趋势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根据气象资料分析，本区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季度历史情况如下表：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季度综合气候历史值</w:t>
      </w:r>
    </w:p>
    <w:tbl>
      <w:tblPr>
        <w:tblStyle w:val="4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200"/>
        <w:gridCol w:w="1335"/>
        <w:gridCol w:w="2700"/>
        <w:gridCol w:w="2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12065</wp:posOffset>
                      </wp:positionV>
                      <wp:extent cx="733425" cy="600075"/>
                      <wp:effectExtent l="3175" t="3810" r="6350" b="571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0.95pt;height:47.25pt;width:57.75pt;z-index:251661312;mso-width-relative:page;mso-height-relative:page;" filled="f" stroked="t" coordsize="21600,21600" o:gfxdata="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lgIefWAAAACAEAAA8AAAAAAAAAAQAgAAAAIgAAAGRycy9k&#10;b3ducmV2LnhtbFBLAQIUABQAAAAIAIdO4kA4kCIoywEAAGcDAAAOAAAAAAAAAAEAIAAAACUBAABk&#10;cnMvZTJvRG9jLnhtbFBLBQYAAAAABgAGAFkBAABi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常年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平均值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近十年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平均值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常年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最高值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最低值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温度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12.5℃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12.4℃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35.7℃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（2022年10月3日）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-9.0℃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（1967年12月30日）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降水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169.5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毫米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220.3毫米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457.1毫米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（2016年）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11.1毫米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（1988年）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both"/>
              <w:textAlignment w:val="center"/>
              <w:outlineLvl w:val="9"/>
              <w:rPr>
                <w:rFonts w:hint="default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降水日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default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24天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27天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42天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（1974年）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8天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（1973年）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预计本区今年10～12月的气温较常年略高，降水接近常年。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风险形势分析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（一）自然灾害风险分析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气象灾害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3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气温：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预计今年10～12月平均气温在13℃左右，极端最高气温28℃左右，极端最低气温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5℃上下。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降水：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预计今年10～12月降水量在150～180毫米，雨日在20～30天。四季度影响本区的主要天气有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大雾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寒潮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，需注意寒潮天气伴随的大风和降温。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海洋灾害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36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主要涉及咸潮入侵。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受潮水、上游来水量和水利工程等水文因素的影响，四季度长江进入枯水期，在枯水期间，易形成长江口南支咸潮上溯、北支倒灌南支等咸潮入侵，影响崇明的淡水资源和水源地正常运行。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3.生物灾害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植物病虫害：</w:t>
      </w:r>
      <w:r>
        <w:rPr>
          <w:rFonts w:hint="eastAsia" w:ascii="仿宋_GB2312" w:eastAsia="仿宋_GB2312"/>
          <w:sz w:val="32"/>
          <w:szCs w:val="32"/>
        </w:rPr>
        <w:t>崇明区公益林内种植的香樟、栾树、水杉等30多种针、阔叶树种是美国白蛾的重要寄主。四季度正值工程造林项目的完工扫尾阶段，大量苗木进入崇明，</w:t>
      </w:r>
      <w:r>
        <w:rPr>
          <w:rFonts w:hint="eastAsia" w:ascii="仿宋_GB2312" w:eastAsia="仿宋_GB2312"/>
          <w:sz w:val="32"/>
          <w:szCs w:val="32"/>
          <w:lang w:eastAsia="zh-CN"/>
        </w:rPr>
        <w:t>可能导致</w:t>
      </w:r>
      <w:r>
        <w:rPr>
          <w:rFonts w:hint="eastAsia" w:ascii="仿宋_GB2312" w:eastAsia="仿宋_GB2312"/>
          <w:sz w:val="32"/>
          <w:szCs w:val="32"/>
        </w:rPr>
        <w:t>美国白蛾越冬蛹进入,</w:t>
      </w:r>
      <w:r>
        <w:rPr>
          <w:rFonts w:hint="eastAsia" w:ascii="仿宋_GB2312" w:eastAsia="仿宋_GB2312"/>
          <w:sz w:val="32"/>
          <w:szCs w:val="32"/>
          <w:lang w:eastAsia="zh-CN"/>
        </w:rPr>
        <w:t>入侵形势</w:t>
      </w:r>
      <w:r>
        <w:rPr>
          <w:rFonts w:hint="eastAsia" w:ascii="仿宋_GB2312" w:eastAsia="仿宋_GB2312"/>
          <w:sz w:val="32"/>
          <w:szCs w:val="32"/>
        </w:rPr>
        <w:t>更加严峻。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农作物病虫害：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四季度进入水稻生长结实期，今年我区水稻病虫害总体呈偏重至大发生，形势不容乐观，主要虫害为主攻稻纵卷叶螟、飞虱、纹枯病、恶苗病、稻瘟病，兼治螟虫、稻曲病、穗腐病等。在水稻收割前期，如遇到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zh-CN" w:eastAsia="zh-CN" w:bidi="ar-SA"/>
        </w:rPr>
        <w:t>多过程性降雨天气，对水稻纹枯病、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稻瘟病、稻曲病发生有利；极个别穗期二次漏防田块，存在稻飞虱局部发生风险，进而对发生区域水稻产量和品质带来严重的影响。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4.森林火灾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崇</w:t>
      </w:r>
      <w:r>
        <w:rPr>
          <w:rFonts w:hint="eastAsia" w:ascii="仿宋_GB2312" w:eastAsia="仿宋_GB2312"/>
          <w:sz w:val="32"/>
          <w:szCs w:val="32"/>
        </w:rPr>
        <w:t>明现有林地57.7万亩，森林面积53.6万亩，森林覆盖率30.55%，且多数为开放式休闲林地，</w:t>
      </w:r>
      <w:r>
        <w:rPr>
          <w:rFonts w:hint="eastAsia" w:ascii="仿宋_GB2312" w:eastAsia="仿宋_GB2312"/>
          <w:sz w:val="32"/>
          <w:szCs w:val="32"/>
          <w:lang w:eastAsia="zh-CN"/>
        </w:rPr>
        <w:t>烧烤、野营等活动</w:t>
      </w:r>
      <w:r>
        <w:rPr>
          <w:rFonts w:hint="eastAsia" w:ascii="仿宋_GB2312" w:eastAsia="仿宋_GB2312"/>
          <w:sz w:val="32"/>
          <w:szCs w:val="32"/>
        </w:rPr>
        <w:t>易诱发森林火灾，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eastAsia="仿宋_GB2312"/>
          <w:sz w:val="32"/>
          <w:szCs w:val="32"/>
        </w:rPr>
        <w:t>秋冬季节气候相对干燥，枯枝落叶大量增多，森林防火形势十分严峻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次生灾害风险分析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1.交通运输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道路：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雨雪冰冻天气对道路运输影响较大，道路结冰容易引发各类交通事故，造成人民生命财产损失。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航运：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大雾会给航运业带来巨大影响，由于客轮、货轮停航，造成旅客滞留，横沙岛可能出现危险品（汽、柴油等）无法进岛的情况，咸潮可能会影响航运的正常通行。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建设施工：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施工现场的各类车辆、船舶机舱内的水箱等设备容易因为冰冻而破裂，舱面容易结冰，对船员的人身安全造成一定隐患；冬季气候干燥、雨水较少，是火灾事故的高发期，容易引起养护和施工事故。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3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highlight w:val="none"/>
          <w:lang w:val="en-US" w:eastAsia="zh-CN" w:bidi="ar-SA"/>
        </w:rPr>
        <w:t>2.建筑安全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建筑施工：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低温、大风、冰冻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等极端天气容易在起重机械、深基坑、高支模等危险性较大的分部分项工程以及高处作业中造成安全隐患。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玻璃幕墙：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冬季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寒潮、大风、低温雨雪等极端灾害天气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将增加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建筑玻璃幕墙爆裂、破碎、坠落的风险。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燃气：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大风、低温天气将对燃气场站、燃气输配系统的正常运行造成一定风险，同时，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秋冬季节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燃气需求将有所上升，用气风险将进一步增加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3" w:firstLineChars="200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3.危险化学品企业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低温、寒潮可能会影响危险化学品生产、储存、经营企业的设备装置；危险化学品库区消防水管、喷淋等地上设施易受低温、寒潮影响，容易出现冻裂情况。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四、防御应对措施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（一）加强预警、综合研判、及时响应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区气象局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要做好对低温寒潮、雨雪冰冻、大风、雾霾等灾害天气的监测，结合历史灾情，分析可能对本区经济社会发展的影响，及时发布气象预警信息。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区水务局（区海洋局）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加强水情和咸潮监测，完善水库调度机制和应急响应机制，及时有效地进行调水、补水。要加强供水设施巡查维护，落实二次供水设施防冻措施，完善防冻应急预案，提前备足生产和防冻抢修物资，及时处置突发事件和紧急情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区应急局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要会同各相关部门做好灾情会商，分析研判低温寒潮、雨雪冰冻、大风、雾霾等灾害风险对城乡运行安全的综合影响，提出风险等级意见、明确灾害防御工作重点。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（二）强化职责、精准施策、科学防范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针对可能发生的气象灾害、植物病虫害、农业病虫害等灾害风险，各部门要积极做好隐患排查和灾害防御工作，积极防范各类风险，有效应对各种灾害风险的影响。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区农业农村委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要在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低温寒潮来临前，完成储水储料，抓好水、电、畜禽圈舍和温室大棚等基础设施全面检修加固等防御应对工作，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要安排科技人员，加强对农业生产和农作物病虫害防治工作指导部署，力求完成今年“虫口夺粮”保丰收任务。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区绿化市容局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要督促加强本区公益林的巡查工作，严防森林火灾。组织专职森防员密切监测森林资源，主动开展美国白蛾越冬蛹专项检查，对岛外调运的苗木加强检疫。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区公安分局和区交通委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要及时掌握气象灾害的影响范围及程度，提前在本区道路、公交枢纽等重点区域强化现场管控，加大排堵疏导和快速处置事故的力度。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崇明海事局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做好大风、雾霾等天气的应急准备和应急值守工作，严格落实有关禁限航规定，做好水上突发事件的处置；加强重点水域的船舶动态监管，保障长江口航道的畅通高效运行;提前掌握三岛客运航线恢复运营的计划和动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区文化旅游局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要针对四季度可能出现的恶劣天候，加强安全防范，积极做好灾害情况下的旅游预警、提示工作。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区教育局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要统筹全区中小学、幼儿园的安全教育工作，针对低温寒潮、雨雪冰冻、大风、雾霾等气象灾害，做好停止户外活动、停学停课的准备工作。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区建设管理委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要结合建筑施工重大事故隐患专项排查整治2023行动等安全生产专项行动，持续开展起重机械、深基坑、高支模等危险性较大的分部分项工程隐患排查,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做到有序施工分散施工，严禁盲目抢工期，防范各类事故发生；要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持续加强高压天然气管道保护和巡检工作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有效落实燃气防汛防冻防漏防咸潮应急预案。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各乡镇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要充分结合“重大事故隐患专项排查整治2023行动”，坚持问题导向，深入开展辖区内风险隐患排查，紧盯事故多发易发环境和薄弱环节，及时落实整改措施，做到深查严查、落细落小、抓早抓实。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（三）夯实保障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快速应对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提升能力</w:t>
      </w:r>
    </w:p>
    <w:p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各乡镇、各有关部门要加强值班值守、严格落实领导带班和24小时值班制度，及时协调处理各种突发情况。要进一步完善各项应急预案，加强应急联动，开展应急演练，健全应急队伍，备足必要应急物资，确保对重大险情或灾害事故果断决策、快速响应、妥善应对、高效处置，全力保障本区城乡运行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232F33"/>
    <w:multiLevelType w:val="singleLevel"/>
    <w:tmpl w:val="D8232F3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B26B2"/>
    <w:rsid w:val="0C335B4B"/>
    <w:rsid w:val="602B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2024-01-10T11:12:00Z</dcterms:created>
  <dc:creator>Administrator</dc:creator>
  <cp:lastModifiedBy>Administrator</cp:lastModifiedBy>
  <dcterms:modified xsi:type="dcterms:W3CDTF">2024-01-10T11:12:45Z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